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bidi w:val="0"/>
        <w:ind w:start="0" w:end="0" w:hanging="0"/>
        <w:jc w:val="start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Обґрунтування технічних та якісних характеристик предмета закупівлі, розміру витрат (розміру бюджетного призначення) та визначення очікуваної вартості предмета закупівлі 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en-US"/>
        </w:rPr>
        <w:t>Електрична енергія (ДК 021:2015 09310000-5 Електрична енергія)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Закупівля відбувається для задоволення потреби Замовника на 2023 рік.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1.Найменування,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 КОМУНАЛЬНИЙ ЗАКЛАД " УДАЙЦІВСЬКИЙ НАВЧАЛЬНО-РЕАБІЛІТАЦІЙНИЙ ЦЕНТР» ЧЕРНІГІВСЬКОЇ ОБЛАСНОЇ РАДИ, ЄДРПОУ: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uk-UA"/>
        </w:rPr>
        <w:t>05266257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Місце поставки товару: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uk-UA"/>
        </w:rPr>
        <w:t>17585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, Україна , Чернігівська обл.,Прилуцький р-н., с.Удайці, вул. Шевченка, буд.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uk-UA"/>
        </w:rPr>
        <w:t>76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2.Назва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en-US"/>
        </w:rPr>
        <w:t>Електрична енергія (ДК 021:2015 09310000-5 Електрична енергія)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3.Ідентифікатор закупівлі (заповнюється у разі проведення закупівлі за конкурентною або переговорною процедурою): ВІДКРИТІ ТОРГИ UA-2022-12-12-020288-a 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4.Обґрунтування технічних та якісних характеристик предмета закупівлі: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eastAsia="en-US"/>
        </w:rPr>
        <w:t>Електрична енергія (ДК 021:2015 09310000-5 Електрична енергія)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</w:t>
      </w:r>
    </w:p>
    <w:tbl>
      <w:tblPr>
        <w:tblW w:w="9638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515"/>
        <w:gridCol w:w="3122"/>
      </w:tblGrid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/>
            </w:pPr>
            <w:r>
              <w:rPr>
                <w:rStyle w:val="Style14"/>
                <w:rFonts w:ascii="Times New Roman" w:hAnsi="Times New Roman"/>
                <w:sz w:val="24"/>
                <w:szCs w:val="24"/>
              </w:rPr>
              <w:t>Природний газ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18"/>
              <w:widowControl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eastAsia="en-US"/>
              </w:rPr>
              <w:t>09310000-5 Електрична енергія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18"/>
              <w:widowControl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lang w:eastAsia="en-US"/>
              </w:rPr>
              <w:t>Електрична енергія (ДК 021:2015 09310000-5 Електрична енергія)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тис </w:t>
            </w:r>
            <w:r>
              <w:rPr>
                <w:rFonts w:ascii="Times New Roman" w:hAnsi="Times New Roman"/>
                <w:sz w:val="24"/>
                <w:szCs w:val="24"/>
              </w:rPr>
              <w:t>кВТ/год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Україна , Чернігівська обл., Прилуцький р-н., с.Удайці, вул. Шевченка, буд.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</w:tr>
      <w:tr>
        <w:trPr/>
        <w:tc>
          <w:tcPr>
            <w:tcW w:w="6515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поставки товару</w:t>
            </w:r>
          </w:p>
        </w:tc>
        <w:tc>
          <w:tcPr>
            <w:tcW w:w="3122" w:type="dxa"/>
            <w:tcBorders>
              <w:top w:val="single" w:sz="2" w:space="0" w:color="E9ECEF"/>
              <w:start w:val="single" w:sz="2" w:space="0" w:color="E9ECEF"/>
              <w:bottom w:val="single" w:sz="2" w:space="0" w:color="E9ECEF"/>
              <w:end w:val="single" w:sz="2" w:space="0" w:color="E9ECEF"/>
            </w:tcBorders>
            <w:vAlign w:val="center"/>
          </w:tcPr>
          <w:p>
            <w:pPr>
              <w:pStyle w:val="Style22"/>
              <w:widowControl w:val="false"/>
              <w:bidi w:val="0"/>
              <w:spacing w:lineRule="auto" w:line="336" w:before="0" w:after="0"/>
              <w:ind w:start="0" w:end="0" w:hanging="0"/>
              <w:jc w:val="star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01 січня 2023 року до 31 </w:t>
            </w:r>
            <w:r>
              <w:rPr>
                <w:rFonts w:ascii="Times New Roman" w:hAnsi="Times New Roman"/>
                <w:sz w:val="24"/>
                <w:szCs w:val="24"/>
              </w:rPr>
              <w:t>груд</w:t>
            </w:r>
            <w:r>
              <w:rPr>
                <w:rFonts w:ascii="Times New Roman" w:hAnsi="Times New Roman"/>
                <w:sz w:val="24"/>
                <w:szCs w:val="24"/>
              </w:rPr>
              <w:t>ня 2023 року включно</w:t>
            </w:r>
          </w:p>
        </w:tc>
      </w:tr>
    </w:tbl>
    <w:p>
      <w:pPr>
        <w:pStyle w:val="Style18"/>
        <w:widowControl/>
        <w:bidi w:val="0"/>
        <w:spacing w:lineRule="auto" w:line="336" w:before="180" w:after="18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4"/>
          <w:szCs w:val="24"/>
        </w:rPr>
        <w:t> 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Замовник самостійно визначає необхідні технічні характеристики предмета закупівлі виходячи зі специфіки предмета закупівлі, керуючись принципами здійснення закупівель та з дотриманням законодавства.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Обґрунтування необхідності закупівлі даного виду товару - замовник здійснює закупівлю даного виду товару, оскільки вони за своїми якісними та технічними характеристиками найбільше відповідають потребам та вимогам замовника.</w:t>
      </w:r>
    </w:p>
    <w:p>
      <w:pPr>
        <w:pStyle w:val="Normal"/>
        <w:widowControl/>
        <w:bidi w:val="0"/>
        <w:spacing w:lineRule="auto" w:line="33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5.Розмір бюджетного призначення погоджений на 2023 рік: буде затверджена кошторисним розрахунком у 2023 році.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6.Обґрунтування розміру бюджетного призначення: закупівля здійснюється на очікувану вартість потреби у товарі на січень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груд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ень 2023 року..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7.Очікувана вартість предмета закупівлі становить: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572000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uk-UA"/>
        </w:rPr>
        <w:t>,00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грн. з ПДВ.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8.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Постачання електричної енергії замовнику (споживачу) повинно відповідати нормам чинного законодавства України:</w:t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spacing w:before="0" w:after="0"/>
        <w:ind w:end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Закону України «Про ринок електричної енергії»;</w:t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spacing w:before="0" w:after="0"/>
        <w:ind w:end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Кодексу систем розподілу, затвердженому постановою Національної комісії, що здійснює державне регулювання у сферах енергетики та комунальних послуг від 14.03.2018 № 310 (зі змінами);</w:t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spacing w:before="0" w:after="0"/>
        <w:ind w:end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Кодексу системи передачі, затвердженому постановою Національної комісії, що здійснює державне регулювання у сферах енергетики та комунальних послуг від 14.03.2018 № 309 (зі змінами);</w:t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spacing w:before="0" w:after="0"/>
        <w:ind w:end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Правилам роздрібного ринку електричної енергії, затвердженим постановою Національної комісії, що здійснює державне регулювання у сферах енергетики та комунальних послуг від 14.03.2018 № 312 (зі змінами);</w:t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spacing w:before="0" w:after="0"/>
        <w:ind w:end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іншим нормативно-правовим актам, прийнятим відповідно до Закону України «Про ринок електричної енергії».</w:t>
      </w:r>
    </w:p>
    <w:p>
      <w:pPr>
        <w:pStyle w:val="Style18"/>
        <w:widowControl/>
        <w:bidi w:val="0"/>
        <w:spacing w:lineRule="auto" w:line="336" w:before="0" w:after="0"/>
        <w:ind w:start="0" w:end="0" w:hanging="0"/>
        <w:jc w:val="star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 </w:t>
      </w:r>
    </w:p>
    <w:p>
      <w:pPr>
        <w:pStyle w:val="Style18"/>
        <w:bidi w:val="0"/>
        <w:spacing w:before="0" w:after="140"/>
        <w:ind w:start="0" w:end="0" w:hanging="0"/>
        <w:jc w:val="star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Символ нумерации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LibreOffice/7.2.0.4$Windows_X86_64 LibreOffice_project/9a9c6381e3f7a62afc1329bd359cc48accb6435b</Application>
  <AppVersion>15.0000</AppVersion>
  <Pages>2</Pages>
  <Words>509</Words>
  <Characters>3786</Characters>
  <CharactersWithSpaces>4271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2022-12-19T21:54:00Z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