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D5" w:rsidRPr="00963162" w:rsidRDefault="002721D5" w:rsidP="00963162">
      <w:pPr>
        <w:rPr>
          <w:rFonts w:ascii="Times New Roman" w:hAnsi="Times New Roman" w:cs="Times New Roman"/>
          <w:sz w:val="28"/>
          <w:szCs w:val="28"/>
        </w:rPr>
      </w:pPr>
      <w:bookmarkStart w:id="0" w:name="_GoBack"/>
      <w:bookmarkEnd w:id="0"/>
      <w:r w:rsidRPr="00963162">
        <w:rPr>
          <w:rFonts w:ascii="Times New Roman" w:hAnsi="Times New Roman" w:cs="Times New Roman"/>
          <w:sz w:val="28"/>
          <w:szCs w:val="28"/>
        </w:rPr>
        <w:t xml:space="preserve">Тема </w:t>
      </w:r>
      <w:r w:rsidR="00963162">
        <w:rPr>
          <w:rFonts w:ascii="Times New Roman" w:hAnsi="Times New Roman" w:cs="Times New Roman"/>
          <w:sz w:val="28"/>
          <w:szCs w:val="28"/>
          <w:lang w:val="ru-RU"/>
        </w:rPr>
        <w:t>Перші вільні вибори до Верхоної ради УРСР. Декларація про державний суверенітет України</w:t>
      </w:r>
    </w:p>
    <w:p w:rsidR="00963162" w:rsidRPr="00963162" w:rsidRDefault="00963162" w:rsidP="00963162">
      <w:pPr>
        <w:pStyle w:val="a4"/>
        <w:jc w:val="both"/>
        <w:rPr>
          <w:color w:val="000000"/>
          <w:sz w:val="28"/>
          <w:szCs w:val="28"/>
        </w:rPr>
      </w:pPr>
      <w:r w:rsidRPr="00C6217A">
        <w:rPr>
          <w:rStyle w:val="a5"/>
          <w:color w:val="333399"/>
          <w:sz w:val="28"/>
          <w:szCs w:val="28"/>
          <w:lang w:val="uk-UA"/>
        </w:rPr>
        <w:t xml:space="preserve">Парламентські вибори в Україні 1990 року – останні вибори до Верховної Ради тодішньої УРСР та перші порівняно демократичні парламентські вибори радянського періоду, що відбулися у березні 1990-го. </w:t>
      </w:r>
      <w:r w:rsidRPr="00963162">
        <w:rPr>
          <w:rStyle w:val="a5"/>
          <w:color w:val="333399"/>
          <w:sz w:val="28"/>
          <w:szCs w:val="28"/>
        </w:rPr>
        <w:t>Незважаючи на монополію компартії на засоби масової інформації, майже чверть мандатів отримала опозиція (Демократичний блок).</w:t>
      </w:r>
    </w:p>
    <w:p w:rsidR="00963162" w:rsidRPr="00963162" w:rsidRDefault="00963162" w:rsidP="00963162">
      <w:pPr>
        <w:pStyle w:val="a4"/>
        <w:jc w:val="both"/>
        <w:rPr>
          <w:color w:val="000000"/>
          <w:sz w:val="28"/>
          <w:szCs w:val="28"/>
        </w:rPr>
      </w:pPr>
      <w:r w:rsidRPr="00963162">
        <w:rPr>
          <w:color w:val="000000"/>
          <w:sz w:val="28"/>
          <w:szCs w:val="28"/>
        </w:rPr>
        <w:t>Процеси перебудови у СРСР наприкінці 80-х років XX ст. призвели до кардинальних змін політичної системи. Головною подією на цьому шляху стали вибори народних депутатів СРСР 1989 року. На цих виборах влада вперше дозволила деякі елементи вільних та конкурентних (з можливістю реального вибору) виборів.</w:t>
      </w:r>
    </w:p>
    <w:p w:rsidR="00963162" w:rsidRPr="00963162" w:rsidRDefault="00963162" w:rsidP="00963162">
      <w:pPr>
        <w:pStyle w:val="a4"/>
        <w:jc w:val="both"/>
        <w:rPr>
          <w:color w:val="000000"/>
          <w:sz w:val="28"/>
          <w:szCs w:val="28"/>
        </w:rPr>
      </w:pPr>
      <w:r w:rsidRPr="00963162">
        <w:rPr>
          <w:color w:val="000000"/>
          <w:sz w:val="28"/>
          <w:szCs w:val="28"/>
        </w:rPr>
        <w:t>Закон про вибори до Верховної Ради УРСР від 27 жовтня 1989 р. став ще демократичнішим, ніж попередній союзний. Зокрема, не передбачено прямого обрання депутатів від громадських організацій, закріплювався принцип обов’язкової альтернативності, «демонтовано» систему «фільтрувальних» зборів громадян для затвердження кандидатів.</w:t>
      </w:r>
    </w:p>
    <w:p w:rsidR="00963162" w:rsidRPr="00963162" w:rsidRDefault="00963162" w:rsidP="00963162">
      <w:pPr>
        <w:pStyle w:val="a4"/>
        <w:jc w:val="both"/>
        <w:rPr>
          <w:color w:val="000000"/>
          <w:sz w:val="28"/>
          <w:szCs w:val="28"/>
        </w:rPr>
      </w:pPr>
      <w:r w:rsidRPr="00963162">
        <w:rPr>
          <w:color w:val="000000"/>
          <w:sz w:val="28"/>
          <w:szCs w:val="28"/>
        </w:rPr>
        <w:t>Передвиборна кампанія на початку 1990-го стимулювала поширення у суспільстві багатьох ідей, які ще донедавна забороняли для публічного обговорення. Вона поставила на порядок денний завдання утвердження української державності, необхідність докорінних змін в економічній та політичній системах, вперше стали звертати увагу на моральні якості кандидата.</w:t>
      </w:r>
    </w:p>
    <w:p w:rsidR="00963162" w:rsidRPr="00963162" w:rsidRDefault="00963162" w:rsidP="00963162">
      <w:pPr>
        <w:pStyle w:val="a4"/>
        <w:jc w:val="both"/>
        <w:rPr>
          <w:color w:val="000000"/>
          <w:sz w:val="28"/>
          <w:szCs w:val="28"/>
        </w:rPr>
      </w:pPr>
      <w:r w:rsidRPr="00963162">
        <w:rPr>
          <w:color w:val="000000"/>
          <w:sz w:val="28"/>
          <w:szCs w:val="28"/>
        </w:rPr>
        <w:t>За результатами виборів у Верховній Раді УРСР утворилася парламентська більшість із комуністів і консерваторів (т. зв. «група 239»).</w:t>
      </w:r>
    </w:p>
    <w:p w:rsidR="00963162" w:rsidRPr="00963162" w:rsidRDefault="00963162" w:rsidP="00963162">
      <w:pPr>
        <w:pStyle w:val="a4"/>
        <w:jc w:val="both"/>
        <w:rPr>
          <w:color w:val="000000"/>
          <w:sz w:val="28"/>
          <w:szCs w:val="28"/>
        </w:rPr>
      </w:pPr>
      <w:r w:rsidRPr="00963162">
        <w:rPr>
          <w:color w:val="000000"/>
          <w:sz w:val="28"/>
          <w:szCs w:val="28"/>
        </w:rPr>
        <w:t>Опозиційні до компартії сили («Демократичний блок») вперше домоглися значного успіху й отримали 111 із 442-ох місць. Демократичний блок отримав перемогу у п’яти областях: Львівській, Івано-Франківській, Тернопільській, Волинській та Київській, зокрема, у Львівській області усі 24 мандати одержали кандидати від «Народного Руху».</w:t>
      </w:r>
    </w:p>
    <w:p w:rsidR="00963162" w:rsidRPr="00963162" w:rsidRDefault="00963162" w:rsidP="00963162">
      <w:pPr>
        <w:pStyle w:val="a4"/>
        <w:jc w:val="both"/>
        <w:rPr>
          <w:color w:val="000000"/>
          <w:sz w:val="28"/>
          <w:szCs w:val="28"/>
        </w:rPr>
      </w:pPr>
      <w:r w:rsidRPr="00963162">
        <w:rPr>
          <w:color w:val="000000"/>
          <w:sz w:val="28"/>
          <w:szCs w:val="28"/>
        </w:rPr>
        <w:t>До опозиційної «Народної Ради» у парламенті увійшло 125 осіб, зокрема, депутатів від Львівщини – 24, Києва – 17, Івано-Франківщини – 11, Харківщини – 10. Головою «Народної Ради» обрано Ігоря Юхновського, заступниками – Левка Лук`яненка, Дмитра Павличка, Олександра Ємця, Володимира Філенка, секретарем – Леся Танюка.</w:t>
      </w:r>
    </w:p>
    <w:p w:rsidR="00963162" w:rsidRPr="00963162" w:rsidRDefault="00963162" w:rsidP="00963162">
      <w:pPr>
        <w:rPr>
          <w:rFonts w:ascii="Times New Roman" w:hAnsi="Times New Roman" w:cs="Times New Roman"/>
          <w:sz w:val="28"/>
          <w:szCs w:val="28"/>
          <w:lang w:val="ru-RU"/>
        </w:rPr>
      </w:pPr>
      <w:r w:rsidRPr="00963162">
        <w:rPr>
          <w:rFonts w:ascii="Times New Roman" w:hAnsi="Times New Roman" w:cs="Times New Roman"/>
          <w:sz w:val="28"/>
          <w:szCs w:val="28"/>
          <w:lang w:val="ru-RU"/>
        </w:rPr>
        <w:t xml:space="preserve">16 липня 1990 року Верховна рада Української Радянської Соціалістичної Республіки ухвалила доленосний документ – прийняла Декларацію про </w:t>
      </w:r>
      <w:r w:rsidRPr="00963162">
        <w:rPr>
          <w:rFonts w:ascii="Times New Roman" w:hAnsi="Times New Roman" w:cs="Times New Roman"/>
          <w:sz w:val="28"/>
          <w:szCs w:val="28"/>
          <w:lang w:val="ru-RU"/>
        </w:rPr>
        <w:lastRenderedPageBreak/>
        <w:t>державний суверенітет України, яким визначені основи державного, політичного, економічного ладу та підкреслені самостійність і суверенітет України..</w:t>
      </w:r>
    </w:p>
    <w:p w:rsidR="00963162" w:rsidRPr="00963162" w:rsidRDefault="00963162" w:rsidP="00963162">
      <w:pPr>
        <w:rPr>
          <w:rFonts w:ascii="Times New Roman" w:hAnsi="Times New Roman" w:cs="Times New Roman"/>
          <w:sz w:val="28"/>
          <w:szCs w:val="28"/>
          <w:lang w:val="ru-RU"/>
        </w:rPr>
      </w:pPr>
    </w:p>
    <w:p w:rsidR="00963162" w:rsidRPr="00963162" w:rsidRDefault="00963162" w:rsidP="00963162">
      <w:pPr>
        <w:rPr>
          <w:rFonts w:ascii="Times New Roman" w:hAnsi="Times New Roman" w:cs="Times New Roman"/>
          <w:sz w:val="28"/>
          <w:szCs w:val="28"/>
          <w:lang w:val="ru-RU"/>
        </w:rPr>
      </w:pPr>
    </w:p>
    <w:p w:rsidR="00963162" w:rsidRPr="00963162" w:rsidRDefault="00963162" w:rsidP="00963162">
      <w:pPr>
        <w:rPr>
          <w:rFonts w:ascii="Times New Roman" w:hAnsi="Times New Roman" w:cs="Times New Roman"/>
          <w:sz w:val="28"/>
          <w:szCs w:val="28"/>
          <w:lang w:val="ru-RU"/>
        </w:rPr>
      </w:pPr>
      <w:r w:rsidRPr="00963162">
        <w:rPr>
          <w:rFonts w:ascii="Times New Roman" w:hAnsi="Times New Roman" w:cs="Times New Roman"/>
          <w:sz w:val="28"/>
          <w:szCs w:val="28"/>
          <w:lang w:val="ru-RU"/>
        </w:rPr>
        <w:t>За прийняття цієї Декларації проголосувало більш ніж 98 відсотків депутатів тодішньої Верховної Ради.</w:t>
      </w:r>
    </w:p>
    <w:p w:rsidR="00963162" w:rsidRPr="00963162" w:rsidRDefault="00963162" w:rsidP="00963162">
      <w:pPr>
        <w:rPr>
          <w:rFonts w:ascii="Times New Roman" w:hAnsi="Times New Roman" w:cs="Times New Roman"/>
          <w:sz w:val="28"/>
          <w:szCs w:val="28"/>
          <w:lang w:val="ru-RU"/>
        </w:rPr>
      </w:pPr>
      <w:r w:rsidRPr="00963162">
        <w:rPr>
          <w:rFonts w:ascii="Times New Roman" w:hAnsi="Times New Roman" w:cs="Times New Roman"/>
          <w:sz w:val="28"/>
          <w:szCs w:val="28"/>
          <w:lang w:val="ru-RU"/>
        </w:rPr>
        <w:t>Від дня прийняття документу від імені народу могла виступати виключно Верховна рада України, а територія України в існуючих межах проголошувалася недоторканною. При прийнятті Декларації про державний суверенітет України влітку 1990 року ВР УРСР керувалася волею народу України, прагненням створити демократичне суспільство, потребою всебічного забезпечення прав і свобод людини, пошаною до національних прав усіх народів, турботою про повноцінний політичний, економічний, соціальний і духовний розвиток народу України, визнанням необхідності побудови правової держави, а також мала на меті утвердити суверенітет і самоврядування народу України. .</w:t>
      </w:r>
    </w:p>
    <w:p w:rsidR="00963162" w:rsidRPr="00963162" w:rsidRDefault="00963162" w:rsidP="00963162">
      <w:pPr>
        <w:rPr>
          <w:rFonts w:ascii="Times New Roman" w:hAnsi="Times New Roman" w:cs="Times New Roman"/>
          <w:sz w:val="28"/>
          <w:szCs w:val="28"/>
          <w:lang w:val="ru-RU"/>
        </w:rPr>
      </w:pPr>
      <w:r w:rsidRPr="00963162">
        <w:rPr>
          <w:rFonts w:ascii="Times New Roman" w:hAnsi="Times New Roman" w:cs="Times New Roman"/>
          <w:sz w:val="28"/>
          <w:szCs w:val="28"/>
          <w:lang w:val="ru-RU"/>
        </w:rPr>
        <w:t>У преамбулі Декларації підкреслювалося, що Верховна Рада УРСР проголошує суверенітет України як «верховенство, самостійність, повноту і неподільність влади республіки в межах її території, незалежність і рівноправність у зовнішніх відносинах».</w:t>
      </w:r>
    </w:p>
    <w:p w:rsidR="00963162" w:rsidRPr="00963162" w:rsidRDefault="00963162" w:rsidP="00963162">
      <w:pPr>
        <w:rPr>
          <w:rFonts w:ascii="Times New Roman" w:hAnsi="Times New Roman" w:cs="Times New Roman"/>
          <w:sz w:val="28"/>
          <w:szCs w:val="28"/>
          <w:lang w:val="ru-RU"/>
        </w:rPr>
      </w:pPr>
      <w:r w:rsidRPr="00963162">
        <w:rPr>
          <w:rFonts w:ascii="Times New Roman" w:hAnsi="Times New Roman" w:cs="Times New Roman"/>
          <w:sz w:val="28"/>
          <w:szCs w:val="28"/>
          <w:lang w:val="ru-RU"/>
        </w:rPr>
        <w:t>Одним із головних положень Декларації було положення про громадянство. Проголошувалося, що Україна має своє громадянство, де «всі громадяни рівні перед законом, незалежно від походження, соціального і майнового стану, расової та національної належності, статі, освіти, політичних поглядів, релігійних переконань, роду і характеру занять». Громадяни всіх національностей становлять народ України.</w:t>
      </w:r>
    </w:p>
    <w:p w:rsidR="00963162" w:rsidRPr="00963162" w:rsidRDefault="00963162" w:rsidP="00963162">
      <w:pPr>
        <w:rPr>
          <w:rFonts w:ascii="Times New Roman" w:hAnsi="Times New Roman" w:cs="Times New Roman"/>
          <w:sz w:val="28"/>
          <w:szCs w:val="28"/>
          <w:lang w:val="ru-RU"/>
        </w:rPr>
      </w:pPr>
      <w:r w:rsidRPr="00963162">
        <w:rPr>
          <w:rFonts w:ascii="Times New Roman" w:hAnsi="Times New Roman" w:cs="Times New Roman"/>
          <w:sz w:val="28"/>
          <w:szCs w:val="28"/>
          <w:lang w:val="ru-RU"/>
        </w:rPr>
        <w:t>Декларація проголошувала економічну самостійність України. У документі підкреслювалося намір створити банківську, цінову, фінансову, митну та податкову системи, сформувати державний бюджет, а при необхідності ввести власну грошову одиницю.</w:t>
      </w:r>
    </w:p>
    <w:p w:rsidR="00963162" w:rsidRPr="00963162" w:rsidRDefault="00963162" w:rsidP="00963162">
      <w:pPr>
        <w:rPr>
          <w:rFonts w:ascii="Times New Roman" w:hAnsi="Times New Roman" w:cs="Times New Roman"/>
          <w:sz w:val="28"/>
          <w:szCs w:val="28"/>
          <w:lang w:val="ru-RU"/>
        </w:rPr>
      </w:pPr>
      <w:r w:rsidRPr="00963162">
        <w:rPr>
          <w:rFonts w:ascii="Times New Roman" w:hAnsi="Times New Roman" w:cs="Times New Roman"/>
          <w:sz w:val="28"/>
          <w:szCs w:val="28"/>
          <w:lang w:val="ru-RU"/>
        </w:rPr>
        <w:t>Декларація визнавала самостійність республіки у вирішенні питань науки, освіти, культурного і духовного розвитку української нації.</w:t>
      </w:r>
    </w:p>
    <w:p w:rsidR="00963162" w:rsidRPr="00963162" w:rsidRDefault="00963162" w:rsidP="00963162">
      <w:pPr>
        <w:rPr>
          <w:rFonts w:ascii="Times New Roman" w:hAnsi="Times New Roman" w:cs="Times New Roman"/>
          <w:sz w:val="28"/>
          <w:szCs w:val="28"/>
          <w:lang w:val="ru-RU"/>
        </w:rPr>
      </w:pPr>
      <w:r w:rsidRPr="00963162">
        <w:rPr>
          <w:rFonts w:ascii="Times New Roman" w:hAnsi="Times New Roman" w:cs="Times New Roman"/>
          <w:sz w:val="28"/>
          <w:szCs w:val="28"/>
          <w:lang w:val="ru-RU"/>
        </w:rPr>
        <w:lastRenderedPageBreak/>
        <w:t>Україна проголошувала свій намір стати в майбутньому постійно нейтральною державою, яка не буде брати участі у військових блоках і зобов'язується дотримуватися трьох неядерних принципів: не застосовувати, не виробляти і не набувати ядерної зброї.</w:t>
      </w:r>
    </w:p>
    <w:p w:rsidR="00963162" w:rsidRPr="00963162" w:rsidRDefault="00963162" w:rsidP="00963162">
      <w:pPr>
        <w:rPr>
          <w:rFonts w:ascii="Times New Roman" w:hAnsi="Times New Roman" w:cs="Times New Roman"/>
          <w:sz w:val="28"/>
          <w:szCs w:val="28"/>
          <w:lang w:val="ru-RU"/>
        </w:rPr>
      </w:pPr>
      <w:r w:rsidRPr="00963162">
        <w:rPr>
          <w:rFonts w:ascii="Times New Roman" w:hAnsi="Times New Roman" w:cs="Times New Roman"/>
          <w:sz w:val="28"/>
          <w:szCs w:val="28"/>
          <w:lang w:val="ru-RU"/>
        </w:rPr>
        <w:t>Декларація проголошувала право України безпосередньо реалізувати відносини з іншими державами, укладати з ними договори, обмінюватися дипломатичними, консульськими, торговельними представництвами.</w:t>
      </w:r>
    </w:p>
    <w:p w:rsidR="00963162" w:rsidRPr="00963162" w:rsidRDefault="00963162" w:rsidP="00963162">
      <w:pPr>
        <w:rPr>
          <w:rFonts w:ascii="Times New Roman" w:hAnsi="Times New Roman" w:cs="Times New Roman"/>
          <w:sz w:val="28"/>
          <w:szCs w:val="28"/>
          <w:lang w:val="ru-RU"/>
        </w:rPr>
      </w:pPr>
    </w:p>
    <w:p w:rsidR="002721D5" w:rsidRPr="00963162" w:rsidRDefault="002721D5">
      <w:pPr>
        <w:rPr>
          <w:rFonts w:ascii="Times New Roman" w:hAnsi="Times New Roman" w:cs="Times New Roman"/>
          <w:sz w:val="28"/>
          <w:szCs w:val="28"/>
        </w:rPr>
      </w:pPr>
      <w:r w:rsidRPr="00963162">
        <w:rPr>
          <w:rFonts w:ascii="Times New Roman" w:hAnsi="Times New Roman" w:cs="Times New Roman"/>
          <w:sz w:val="28"/>
          <w:szCs w:val="28"/>
        </w:rPr>
        <w:t xml:space="preserve">Тема </w:t>
      </w:r>
      <w:r w:rsidR="00963162">
        <w:rPr>
          <w:rFonts w:ascii="Times New Roman" w:hAnsi="Times New Roman" w:cs="Times New Roman"/>
          <w:sz w:val="28"/>
          <w:szCs w:val="28"/>
        </w:rPr>
        <w:t>Спроба державного перевороту в СРСР. Проголошення незалежності України</w:t>
      </w:r>
    </w:p>
    <w:p w:rsidR="00963162" w:rsidRDefault="00963162" w:rsidP="00963162">
      <w:pPr>
        <w:pStyle w:val="a4"/>
        <w:spacing w:before="0" w:beforeAutospacing="0" w:after="420" w:afterAutospacing="0"/>
      </w:pPr>
      <w:r>
        <w:rPr>
          <w:rStyle w:val="a5"/>
        </w:rPr>
        <w:t>Серпневий путч</w:t>
      </w:r>
      <w:r>
        <w:t> 1991 року став переломним моментом в процесі </w:t>
      </w:r>
      <w:hyperlink r:id="rId5" w:history="1">
        <w:r>
          <w:rPr>
            <w:rStyle w:val="a3"/>
            <w:color w:val="007ACC"/>
          </w:rPr>
          <w:t>розпаду СРСР</w:t>
        </w:r>
      </w:hyperlink>
      <w:r>
        <w:t>. До того відкритими прихильниками самостійності були національні кола периферійних республік (Прибалтика та Грузія), які становили більшість у парламентах. Після придушення </w:t>
      </w:r>
      <w:r>
        <w:rPr>
          <w:rStyle w:val="a5"/>
        </w:rPr>
        <w:t>заколоту ДКНС </w:t>
      </w:r>
      <w:r>
        <w:t>незалежний розвиток підтримала й комуністична еліта низки республік, зокрема УРСР та РСФРР.</w:t>
      </w:r>
    </w:p>
    <w:p w:rsidR="00963162" w:rsidRDefault="00963162" w:rsidP="00963162">
      <w:pPr>
        <w:pStyle w:val="a4"/>
        <w:spacing w:before="0" w:beforeAutospacing="0" w:after="420" w:afterAutospacing="0"/>
      </w:pPr>
      <w:r>
        <w:rPr>
          <w:u w:val="single"/>
        </w:rPr>
        <w:t>Передумови подій</w:t>
      </w:r>
      <w:r>
        <w:t>. </w:t>
      </w:r>
      <w:r>
        <w:rPr>
          <w:rStyle w:val="a6"/>
        </w:rPr>
        <w:t>Парад суверенітетів</w:t>
      </w:r>
      <w:r>
        <w:t> у СРСР, що тривав з листопада 1988 до грудня 1990 року, показав подальшу нежиттєздатність радянського державного механізму. Тому у грудні того року уряд на чолі з президентом </w:t>
      </w:r>
      <w:hyperlink r:id="rId6" w:history="1">
        <w:r>
          <w:rPr>
            <w:rStyle w:val="a3"/>
            <w:color w:val="007ACC"/>
          </w:rPr>
          <w:t>М. Горбачовим</w:t>
        </w:r>
      </w:hyperlink>
      <w:r>
        <w:t> ініціює структурні реформи державного устрою. Для цього 17.03.1991 р. відбувся референдум, на якому мешканці дев’яти республік висловили бажання жити в оновленому Союзі. Серед таких прихильників було 70% українських громадян.</w:t>
      </w:r>
    </w:p>
    <w:p w:rsidR="00963162" w:rsidRDefault="00963162" w:rsidP="00963162">
      <w:pPr>
        <w:pStyle w:val="a4"/>
        <w:spacing w:before="0" w:beforeAutospacing="0" w:after="420" w:afterAutospacing="0"/>
      </w:pPr>
      <w:r>
        <w:t>У квітні 1991 року було започатковано т. зв. </w:t>
      </w:r>
      <w:r>
        <w:rPr>
          <w:rStyle w:val="a6"/>
        </w:rPr>
        <w:t>новоогарьовський процес</w:t>
      </w:r>
      <w:r>
        <w:t>. У результаті виник проект нового державного утворення – Союзу Суверенних Держав, побудованого на принципах конфедерації.</w:t>
      </w:r>
    </w:p>
    <w:p w:rsidR="00963162" w:rsidRDefault="00963162" w:rsidP="00963162">
      <w:pPr>
        <w:pStyle w:val="a4"/>
        <w:spacing w:before="0" w:beforeAutospacing="0" w:after="420" w:afterAutospacing="0"/>
      </w:pPr>
      <w:r>
        <w:t>По суті дев’ять республік (Азербайджанська, Білоруська, Казахська, Киргизька, Російська федеративна, Таджицька, Туркменська, Узбецька, Українська) ставали незалежними країнами. Тим паче, що всі вони протягом параду суверенітетів прийняли відповідні декларації.</w:t>
      </w:r>
    </w:p>
    <w:p w:rsidR="00963162" w:rsidRDefault="00963162" w:rsidP="00963162">
      <w:pPr>
        <w:pStyle w:val="a4"/>
        <w:spacing w:before="0" w:beforeAutospacing="0" w:after="420" w:afterAutospacing="0"/>
      </w:pPr>
      <w:r>
        <w:t>Нову союзну угоду мали підписати 20 серпня 1991 року. Це не влаштовувало союзну партійну верхівку та низку вищих урядовців. Вони утворили т. зв. </w:t>
      </w:r>
      <w:r>
        <w:rPr>
          <w:rStyle w:val="a6"/>
        </w:rPr>
        <w:t>Державний комітет з надзвичайного стану</w:t>
      </w:r>
      <w:r>
        <w:t> (ДКНС, російською – ГКЧП) на чолі з віце-президентом Генадієм Янаєвим.</w:t>
      </w:r>
    </w:p>
    <w:p w:rsidR="00963162" w:rsidRDefault="00963162" w:rsidP="00963162">
      <w:pPr>
        <w:pStyle w:val="a4"/>
        <w:spacing w:before="0" w:beforeAutospacing="0" w:after="420" w:afterAutospacing="0"/>
      </w:pPr>
      <w:r>
        <w:rPr>
          <w:rStyle w:val="a5"/>
        </w:rPr>
        <w:t>Спроба державного перевороту в СРСР</w:t>
      </w:r>
      <w:r>
        <w:t> почалася з домашнього арешту М. Горбачова, який відпочивав у Криму та відмовився скласти повноваження (вечір 18 серпня). Вранці наступного дня державне телебачення та радіо повідомило про створення ДКНС, «хворобу» президента та перехід обов’язків голови держави до Г. Янаєва.</w:t>
      </w:r>
    </w:p>
    <w:p w:rsidR="00963162" w:rsidRDefault="00963162" w:rsidP="00963162">
      <w:pPr>
        <w:pStyle w:val="a4"/>
        <w:spacing w:before="0" w:beforeAutospacing="0" w:after="420" w:afterAutospacing="0"/>
      </w:pPr>
      <w:r>
        <w:t>У своїй </w:t>
      </w:r>
      <w:r>
        <w:rPr>
          <w:u w:val="single"/>
        </w:rPr>
        <w:t>першій постанові</w:t>
      </w:r>
      <w:r>
        <w:t> путчисти вдалися до:</w:t>
      </w:r>
    </w:p>
    <w:p w:rsidR="00963162" w:rsidRDefault="00963162" w:rsidP="00963162">
      <w:pPr>
        <w:numPr>
          <w:ilvl w:val="0"/>
          <w:numId w:val="1"/>
        </w:numPr>
        <w:spacing w:before="100" w:beforeAutospacing="1" w:after="100" w:afterAutospacing="1" w:line="240" w:lineRule="auto"/>
        <w:ind w:left="0"/>
      </w:pPr>
      <w:r>
        <w:lastRenderedPageBreak/>
        <w:t>скасування республіканських законів, які суперечили всесоюзному законодавству (це означало скасування суверенітету республік);</w:t>
      </w:r>
    </w:p>
    <w:p w:rsidR="00963162" w:rsidRDefault="00963162" w:rsidP="00963162">
      <w:pPr>
        <w:numPr>
          <w:ilvl w:val="0"/>
          <w:numId w:val="1"/>
        </w:numPr>
        <w:spacing w:before="100" w:beforeAutospacing="1" w:after="100" w:afterAutospacing="1" w:line="240" w:lineRule="auto"/>
        <w:ind w:left="0"/>
      </w:pPr>
      <w:r>
        <w:t>призупинення дозволу діяльності громадських рухів, політичних партій (окрім комуністичної).</w:t>
      </w:r>
    </w:p>
    <w:p w:rsidR="00963162" w:rsidRDefault="00963162" w:rsidP="00963162">
      <w:pPr>
        <w:pStyle w:val="a4"/>
        <w:spacing w:before="0" w:beforeAutospacing="0" w:after="420" w:afterAutospacing="0"/>
      </w:pPr>
      <w:r>
        <w:t>Такі заходи викликали незадоволення населення та його лідерів, які глибоко сприйняли горбачовську </w:t>
      </w:r>
      <w:hyperlink r:id="rId7" w:history="1">
        <w:r>
          <w:rPr>
            <w:rStyle w:val="a3"/>
            <w:color w:val="007ACC"/>
          </w:rPr>
          <w:t>гласність та лібералізацію</w:t>
        </w:r>
      </w:hyperlink>
      <w:r>
        <w:t>. Опір заколотникам в Москві очолило керівництво РСФРР (насамперед російський президент Б. Єльцин та голова уряду І. Сілаєв). Активний спротив москвичів і невпевнені дії членів ДКНС забезпечили провал серпневого путчу.</w:t>
      </w:r>
    </w:p>
    <w:p w:rsidR="00963162" w:rsidRDefault="00963162" w:rsidP="00963162">
      <w:pPr>
        <w:pStyle w:val="a4"/>
        <w:spacing w:before="0" w:beforeAutospacing="0" w:after="420" w:afterAutospacing="0"/>
      </w:pPr>
      <w:r>
        <w:t>22 серпня </w:t>
      </w:r>
      <w:r>
        <w:rPr>
          <w:rStyle w:val="a6"/>
        </w:rPr>
        <w:t>спроба державного перевороту в СРСР</w:t>
      </w:r>
      <w:r>
        <w:t> завершилася арештом її організаторів. Демократичний шлях розвитку було збережено, республіки обрали шлях на здобуття незалежності, а президент М. Горбачов утратив реальну владу.</w:t>
      </w:r>
    </w:p>
    <w:p w:rsidR="00963162" w:rsidRDefault="00963162" w:rsidP="00963162">
      <w:pPr>
        <w:pStyle w:val="a4"/>
        <w:spacing w:before="0" w:beforeAutospacing="0" w:after="420" w:afterAutospacing="0"/>
      </w:pPr>
      <w:r>
        <w:rPr>
          <w:u w:val="single"/>
        </w:rPr>
        <w:t>ДКНС і Україна</w:t>
      </w:r>
      <w:r>
        <w:t>. Вже о 9 годині ранку 19 серпня до керівника ВР УРСР </w:t>
      </w:r>
      <w:hyperlink r:id="rId8" w:history="1">
        <w:r>
          <w:rPr>
            <w:rStyle w:val="a3"/>
            <w:color w:val="007ACC"/>
          </w:rPr>
          <w:t>Л. Кравчука</w:t>
        </w:r>
      </w:hyperlink>
      <w:r>
        <w:t> прибув представник заколотників. Голова парламенту відмовився підтримати переворот, стверджуючи, що лише Верховна Рада може прийняти рішення про запровадження надзвичайного стану. Загалом </w:t>
      </w:r>
      <w:r>
        <w:rPr>
          <w:rStyle w:val="a6"/>
        </w:rPr>
        <w:t>парламент</w:t>
      </w:r>
      <w:r>
        <w:t> зайняв вичікувальну позицію.</w:t>
      </w:r>
    </w:p>
    <w:p w:rsidR="00963162" w:rsidRDefault="00963162" w:rsidP="00963162">
      <w:pPr>
        <w:pStyle w:val="a4"/>
        <w:spacing w:before="0" w:beforeAutospacing="0" w:after="420" w:afterAutospacing="0"/>
      </w:pPr>
      <w:r>
        <w:t>Натомість дії </w:t>
      </w:r>
      <w:r>
        <w:rPr>
          <w:rStyle w:val="a6"/>
        </w:rPr>
        <w:t>українського уряду</w:t>
      </w:r>
      <w:r>
        <w:t> виглядали як пропутчистські: активну молодь – студентів – відправляли з міст на сільськогосподарські роботи, запровадили «смотрящих» по регіонах, щоб уникнути «надзвичайних ситуацій», тощо. У перші дні дії ДКНС не осуджувалися.</w:t>
      </w:r>
    </w:p>
    <w:p w:rsidR="00963162" w:rsidRDefault="00963162" w:rsidP="00963162">
      <w:pPr>
        <w:pStyle w:val="a4"/>
        <w:spacing w:before="0" w:beforeAutospacing="0" w:after="420" w:afterAutospacing="0"/>
      </w:pPr>
      <w:r>
        <w:rPr>
          <w:rStyle w:val="a6"/>
        </w:rPr>
        <w:t>Очільники КПУ</w:t>
      </w:r>
      <w:r>
        <w:t> підтримали ГКЧП. Зокрема друковані органи партії публікували рішення ДКНС у повному обсязі.</w:t>
      </w:r>
    </w:p>
    <w:p w:rsidR="00963162" w:rsidRDefault="00963162" w:rsidP="00963162">
      <w:pPr>
        <w:pStyle w:val="a4"/>
        <w:spacing w:before="0" w:beforeAutospacing="0" w:after="420" w:afterAutospacing="0"/>
      </w:pPr>
      <w:r>
        <w:rPr>
          <w:rStyle w:val="a6"/>
        </w:rPr>
        <w:t>Національні партії, громадянський актив</w:t>
      </w:r>
      <w:r>
        <w:t> засудили заколот, діючи в межах конституційних прав. Зокрема шахтарі Донбасу оголосили безстроковий страйк і висунули вимогу заборонити всесоюзну й республіканську компартію.</w:t>
      </w:r>
    </w:p>
    <w:p w:rsidR="00963162" w:rsidRDefault="00963162" w:rsidP="00963162">
      <w:pPr>
        <w:pStyle w:val="a4"/>
        <w:spacing w:before="0" w:beforeAutospacing="0" w:after="420" w:afterAutospacing="0"/>
      </w:pPr>
      <w:r>
        <w:t>Після арешту членів ДКНС ВР УРСР ухвалила </w:t>
      </w:r>
      <w:r>
        <w:rPr>
          <w:rStyle w:val="a6"/>
        </w:rPr>
        <w:t>Акт проголошення незалежності України</w:t>
      </w:r>
      <w:r>
        <w:t> (24.08.1991).</w:t>
      </w:r>
    </w:p>
    <w:p w:rsidR="002721D5" w:rsidRPr="00963162" w:rsidRDefault="002721D5">
      <w:pPr>
        <w:rPr>
          <w:rFonts w:ascii="Times New Roman" w:hAnsi="Times New Roman" w:cs="Times New Roman"/>
          <w:sz w:val="28"/>
          <w:szCs w:val="28"/>
          <w:lang w:val="ru-RU"/>
        </w:rPr>
      </w:pPr>
    </w:p>
    <w:sectPr w:rsidR="002721D5" w:rsidRPr="00963162" w:rsidSect="00A9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BEC"/>
    <w:multiLevelType w:val="multilevel"/>
    <w:tmpl w:val="2FE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D5"/>
    <w:rsid w:val="002721D5"/>
    <w:rsid w:val="00731551"/>
    <w:rsid w:val="00963162"/>
    <w:rsid w:val="00A93DC1"/>
    <w:rsid w:val="00C6217A"/>
    <w:rsid w:val="00C6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740D6-C3B0-4143-AF93-76AEBAC0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3DC1"/>
    <w:rPr>
      <w:lang w:val="uk-UA"/>
    </w:rPr>
  </w:style>
  <w:style w:type="paragraph" w:styleId="1">
    <w:name w:val="heading 1"/>
    <w:basedOn w:val="a"/>
    <w:link w:val="10"/>
    <w:uiPriority w:val="9"/>
    <w:qFormat/>
    <w:rsid w:val="0096316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1D5"/>
    <w:rPr>
      <w:color w:val="0000FF" w:themeColor="hyperlink"/>
      <w:u w:val="single"/>
    </w:rPr>
  </w:style>
  <w:style w:type="paragraph" w:styleId="a4">
    <w:name w:val="Normal (Web)"/>
    <w:basedOn w:val="a"/>
    <w:uiPriority w:val="99"/>
    <w:semiHidden/>
    <w:unhideWhenUsed/>
    <w:rsid w:val="009631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963162"/>
    <w:rPr>
      <w:b/>
      <w:bCs/>
    </w:rPr>
  </w:style>
  <w:style w:type="character" w:customStyle="1" w:styleId="10">
    <w:name w:val="Заголовок 1 Знак"/>
    <w:basedOn w:val="a0"/>
    <w:link w:val="1"/>
    <w:uiPriority w:val="9"/>
    <w:rsid w:val="00963162"/>
    <w:rPr>
      <w:rFonts w:ascii="Times New Roman" w:eastAsia="Times New Roman" w:hAnsi="Times New Roman" w:cs="Times New Roman"/>
      <w:b/>
      <w:bCs/>
      <w:kern w:val="36"/>
      <w:sz w:val="48"/>
      <w:szCs w:val="48"/>
      <w:lang w:eastAsia="ru-RU"/>
    </w:rPr>
  </w:style>
  <w:style w:type="character" w:customStyle="1" w:styleId="post-views-label">
    <w:name w:val="post-views-label"/>
    <w:basedOn w:val="a0"/>
    <w:rsid w:val="00963162"/>
  </w:style>
  <w:style w:type="character" w:customStyle="1" w:styleId="post-views-count">
    <w:name w:val="post-views-count"/>
    <w:basedOn w:val="a0"/>
    <w:rsid w:val="00963162"/>
  </w:style>
  <w:style w:type="character" w:styleId="a6">
    <w:name w:val="Emphasis"/>
    <w:basedOn w:val="a0"/>
    <w:uiPriority w:val="20"/>
    <w:qFormat/>
    <w:rsid w:val="00963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7373">
      <w:bodyDiv w:val="1"/>
      <w:marLeft w:val="0"/>
      <w:marRight w:val="0"/>
      <w:marTop w:val="0"/>
      <w:marBottom w:val="0"/>
      <w:divBdr>
        <w:top w:val="none" w:sz="0" w:space="0" w:color="auto"/>
        <w:left w:val="none" w:sz="0" w:space="0" w:color="auto"/>
        <w:bottom w:val="none" w:sz="0" w:space="0" w:color="auto"/>
        <w:right w:val="none" w:sz="0" w:space="0" w:color="auto"/>
      </w:divBdr>
    </w:div>
    <w:div w:id="1071653675">
      <w:bodyDiv w:val="1"/>
      <w:marLeft w:val="0"/>
      <w:marRight w:val="0"/>
      <w:marTop w:val="0"/>
      <w:marBottom w:val="0"/>
      <w:divBdr>
        <w:top w:val="none" w:sz="0" w:space="0" w:color="auto"/>
        <w:left w:val="none" w:sz="0" w:space="0" w:color="auto"/>
        <w:bottom w:val="none" w:sz="0" w:space="0" w:color="auto"/>
        <w:right w:val="none" w:sz="0" w:space="0" w:color="auto"/>
      </w:divBdr>
    </w:div>
    <w:div w:id="1182551611">
      <w:bodyDiv w:val="1"/>
      <w:marLeft w:val="0"/>
      <w:marRight w:val="0"/>
      <w:marTop w:val="0"/>
      <w:marBottom w:val="0"/>
      <w:divBdr>
        <w:top w:val="none" w:sz="0" w:space="0" w:color="auto"/>
        <w:left w:val="none" w:sz="0" w:space="0" w:color="auto"/>
        <w:bottom w:val="none" w:sz="0" w:space="0" w:color="auto"/>
        <w:right w:val="none" w:sz="0" w:space="0" w:color="auto"/>
      </w:divBdr>
      <w:divsChild>
        <w:div w:id="1911692078">
          <w:marLeft w:val="0"/>
          <w:marRight w:val="0"/>
          <w:marTop w:val="0"/>
          <w:marBottom w:val="0"/>
          <w:divBdr>
            <w:top w:val="none" w:sz="0" w:space="0" w:color="D1D1D1"/>
            <w:left w:val="none" w:sz="0" w:space="0" w:color="D1D1D1"/>
            <w:bottom w:val="none" w:sz="0" w:space="0" w:color="D1D1D1"/>
            <w:right w:val="none" w:sz="0" w:space="0" w:color="D1D1D1"/>
          </w:divBdr>
          <w:divsChild>
            <w:div w:id="2196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t.in.ua/persony_leonid-kravchuk/" TargetMode="External"/><Relationship Id="rId3" Type="http://schemas.openxmlformats.org/officeDocument/2006/relationships/settings" Target="settings.xml"/><Relationship Id="rId7" Type="http://schemas.openxmlformats.org/officeDocument/2006/relationships/hyperlink" Target="https://mtt.in.ua/slovnyk_glasnist-i-liberalizat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t.in.ua/persony_gorbachev/" TargetMode="External"/><Relationship Id="rId5" Type="http://schemas.openxmlformats.org/officeDocument/2006/relationships/hyperlink" Target="https://mtt.in.ua/ist-ukr_1985-1991_rozpad-srs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5500</Words>
  <Characters>3135</Characters>
  <Application>Microsoft Office Word</Application>
  <DocSecurity>0</DocSecurity>
  <Lines>26</Lines>
  <Paragraphs>17</Paragraphs>
  <ScaleCrop>false</ScaleCrop>
  <Company>Microsoft</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Дредун Діана</cp:lastModifiedBy>
  <cp:revision>2</cp:revision>
  <dcterms:created xsi:type="dcterms:W3CDTF">2021-04-27T07:14:00Z</dcterms:created>
  <dcterms:modified xsi:type="dcterms:W3CDTF">2021-04-27T07:14:00Z</dcterms:modified>
</cp:coreProperties>
</file>